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110bis</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404763</w:t>
      </w:r>
      <w:bookmarkStart w:id="0" w:name="_GoBack"/>
      <w:bookmarkEnd w:id="0"/>
    </w:p>
    <w:p>
      <w:pPr>
        <w:tabs>
          <w:tab w:val="left" w:pos="3106"/>
          <w:tab w:val="center" w:pos="4536"/>
          <w:tab w:val="right" w:pos="9072"/>
        </w:tabs>
        <w:jc w:val="both"/>
        <w:rPr>
          <w:rFonts w:hint="default" w:ascii="Arial" w:hAnsi="Arial" w:eastAsia="宋体"/>
          <w:b/>
          <w:color w:val="auto"/>
          <w:sz w:val="24"/>
          <w:lang w:val="en-US" w:eastAsia="zh-CN"/>
        </w:rPr>
      </w:pPr>
      <w:r>
        <w:rPr>
          <w:rFonts w:hint="eastAsia" w:ascii="Arial" w:hAnsi="Arial" w:eastAsia="宋体" w:cs="Arial"/>
          <w:b/>
          <w:sz w:val="24"/>
          <w:szCs w:val="24"/>
          <w:lang w:val="en-US" w:eastAsia="zh-CN"/>
        </w:rPr>
        <w:t>Changsha</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China</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15</w:t>
      </w:r>
      <w:r>
        <w:rPr>
          <w:rFonts w:hint="eastAsia" w:ascii="Arial" w:hAnsi="Arial" w:eastAsia="宋体" w:cs="Arial"/>
          <w:b/>
          <w:sz w:val="24"/>
          <w:szCs w:val="24"/>
          <w:vertAlign w:val="superscript"/>
          <w:lang w:val="en-US" w:eastAsia="zh-CN"/>
        </w:rPr>
        <w:t>th</w:t>
      </w:r>
      <w:r>
        <w:rPr>
          <w:rFonts w:ascii="Arial" w:hAnsi="Arial" w:eastAsia="宋体" w:cs="Arial"/>
          <w:b/>
          <w:sz w:val="24"/>
          <w:szCs w:val="24"/>
          <w:lang w:eastAsia="zh-CN"/>
        </w:rPr>
        <w:t xml:space="preserve"> – </w:t>
      </w:r>
      <w:r>
        <w:rPr>
          <w:rFonts w:hint="eastAsia" w:ascii="Arial" w:hAnsi="Arial" w:eastAsia="宋体" w:cs="Arial"/>
          <w:b/>
          <w:sz w:val="24"/>
          <w:szCs w:val="24"/>
          <w:lang w:val="en-US" w:eastAsia="zh-CN"/>
        </w:rPr>
        <w:t>19</w:t>
      </w:r>
      <w:r>
        <w:rPr>
          <w:rFonts w:hint="eastAsia" w:ascii="Arial" w:hAnsi="Arial" w:eastAsia="宋体" w:cs="Arial"/>
          <w:b/>
          <w:sz w:val="24"/>
          <w:szCs w:val="24"/>
          <w:vertAlign w:val="superscript"/>
          <w:lang w:val="en-US" w:eastAsia="zh-CN"/>
        </w:rPr>
        <w:t>th</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April</w:t>
      </w:r>
      <w:r>
        <w:rPr>
          <w:rFonts w:ascii="Arial" w:hAnsi="Arial" w:eastAsia="宋体" w:cs="Arial"/>
          <w:b/>
          <w:sz w:val="24"/>
          <w:szCs w:val="24"/>
          <w:lang w:eastAsia="zh-CN"/>
        </w:rPr>
        <w:t>, 202</w:t>
      </w:r>
      <w:r>
        <w:rPr>
          <w:rFonts w:hint="eastAsia" w:ascii="Arial" w:hAnsi="Arial" w:eastAsia="宋体" w:cs="Arial"/>
          <w:b/>
          <w:sz w:val="24"/>
          <w:szCs w:val="24"/>
          <w:lang w:val="en-US" w:eastAsia="zh-CN"/>
        </w:rPr>
        <w:t>4</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6"/>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6"/>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the performance requirements for ATG</w:t>
      </w:r>
    </w:p>
    <w:p>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4.2.7.3</w:t>
      </w:r>
    </w:p>
    <w:p>
      <w:pPr>
        <w:pStyle w:val="16"/>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10"/>
        <w:tabs>
          <w:tab w:val="left" w:pos="226"/>
          <w:tab w:val="left" w:pos="284"/>
          <w:tab w:val="left" w:pos="5103"/>
        </w:tabs>
        <w:snapToGrid w:val="0"/>
        <w:spacing w:before="156" w:beforeLines="50"/>
        <w:rPr>
          <w:rFonts w:hint="default" w:eastAsia="宋体"/>
          <w:color w:val="auto"/>
          <w:sz w:val="20"/>
          <w:szCs w:val="20"/>
          <w:lang w:val="en-US" w:eastAsia="zh-CN"/>
        </w:rPr>
      </w:pPr>
      <w:r>
        <w:rPr>
          <w:rFonts w:hint="eastAsia" w:eastAsia="宋体"/>
          <w:color w:val="auto"/>
          <w:sz w:val="20"/>
          <w:szCs w:val="20"/>
          <w:lang w:val="en-US" w:eastAsia="zh-CN"/>
        </w:rPr>
        <w:t>During previous meetings, wide discussion around the core part requirements of ATG have been discussed and good progress were achieved. During last meeting, the UE features relevant to ATG have been discussed and almost all the UE features were determined and captured into [1]. Besides the UE features, some other progress were reached in [2]. Meanwhile, the test methodology and test configuration were also discussed and identified. The exact test cases have been drafted in last meeting. In this paper, we provide our views on the remaining issues with respect to the test.</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10"/>
        <w:numPr>
          <w:ilvl w:val="0"/>
          <w:numId w:val="0"/>
        </w:numPr>
        <w:ind w:leftChars="0"/>
        <w:jc w:val="both"/>
        <w:rPr>
          <w:rFonts w:hint="eastAsia" w:eastAsia="宋体"/>
          <w:color w:val="auto"/>
          <w:sz w:val="20"/>
          <w:szCs w:val="20"/>
          <w:u w:val="single"/>
          <w:lang w:val="en-US" w:eastAsia="zh-CN"/>
        </w:rPr>
      </w:pPr>
      <w:r>
        <w:rPr>
          <w:rFonts w:hint="eastAsia" w:eastAsia="宋体"/>
          <w:color w:val="auto"/>
          <w:sz w:val="20"/>
          <w:szCs w:val="20"/>
          <w:u w:val="single"/>
          <w:lang w:val="en-US" w:eastAsia="zh-CN"/>
        </w:rPr>
        <w:t>Test method for UE with antenna array</w:t>
      </w:r>
    </w:p>
    <w:p>
      <w:pPr>
        <w:pStyle w:val="10"/>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This issue was warmly online and offline discussed between the RRM, RF and test device delegates during last meeting. The following progress were achieved:</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val="0"/>
              <w:kinsoku/>
              <w:wordWrap/>
              <w:overflowPunct/>
              <w:topLinePunct w:val="0"/>
              <w:autoSpaceDE/>
              <w:autoSpaceDN/>
              <w:bidi w:val="0"/>
              <w:adjustRightInd/>
              <w:snapToGrid/>
              <w:textAlignment w:val="auto"/>
              <w:rPr>
                <w:sz w:val="21"/>
                <w:szCs w:val="21"/>
              </w:rPr>
            </w:pPr>
            <w:r>
              <w:rPr>
                <w:rFonts w:hint="eastAsia"/>
                <w:sz w:val="21"/>
                <w:szCs w:val="21"/>
                <w:highlight w:val="green"/>
              </w:rPr>
              <w:t>A</w:t>
            </w:r>
            <w:r>
              <w:rPr>
                <w:sz w:val="21"/>
                <w:szCs w:val="21"/>
                <w:highlight w:val="green"/>
              </w:rPr>
              <w:t>greement</w:t>
            </w:r>
            <w:r>
              <w:rPr>
                <w:sz w:val="21"/>
                <w:szCs w:val="21"/>
              </w:rPr>
              <w:t>:</w:t>
            </w:r>
          </w:p>
          <w:p>
            <w:pPr>
              <w:pStyle w:val="60"/>
              <w:keepNext w:val="0"/>
              <w:keepLines w:val="0"/>
              <w:pageBreakBefore w:val="0"/>
              <w:widowControl w:val="0"/>
              <w:numPr>
                <w:ilvl w:val="0"/>
                <w:numId w:val="3"/>
              </w:numPr>
              <w:kinsoku/>
              <w:wordWrap/>
              <w:overflowPunct/>
              <w:topLinePunct w:val="0"/>
              <w:autoSpaceDE/>
              <w:autoSpaceDN/>
              <w:bidi w:val="0"/>
              <w:adjustRightInd/>
              <w:snapToGrid/>
              <w:spacing w:after="0"/>
              <w:ind w:left="600" w:leftChars="0"/>
              <w:textAlignment w:val="auto"/>
            </w:pPr>
            <w:r>
              <w:rPr>
                <w:rFonts w:hint="eastAsia"/>
                <w:lang w:val="en-US" w:eastAsia="zh-CN"/>
              </w:rPr>
              <w:t>U</w:t>
            </w:r>
            <w:r>
              <w:rPr>
                <w:rFonts w:hint="eastAsia"/>
              </w:rPr>
              <w:t xml:space="preserve">se the test method of </w:t>
            </w:r>
            <w:r>
              <w:t>conducted test</w:t>
            </w:r>
          </w:p>
          <w:p>
            <w:pPr>
              <w:pStyle w:val="60"/>
              <w:keepNext w:val="0"/>
              <w:keepLines w:val="0"/>
              <w:pageBreakBefore w:val="0"/>
              <w:widowControl w:val="0"/>
              <w:numPr>
                <w:ilvl w:val="0"/>
                <w:numId w:val="3"/>
              </w:numPr>
              <w:kinsoku/>
              <w:wordWrap/>
              <w:overflowPunct/>
              <w:topLinePunct w:val="0"/>
              <w:autoSpaceDE/>
              <w:autoSpaceDN/>
              <w:bidi w:val="0"/>
              <w:adjustRightInd/>
              <w:snapToGrid/>
              <w:spacing w:after="0"/>
              <w:ind w:left="600" w:leftChars="0"/>
              <w:textAlignment w:val="auto"/>
            </w:pPr>
            <w:r>
              <w:t xml:space="preserve">Endorse the CRs without scaling factor (scaling factor = [1]), and close the WI performance part in this meeting. </w:t>
            </w:r>
          </w:p>
          <w:p>
            <w:pPr>
              <w:pStyle w:val="60"/>
              <w:keepNext w:val="0"/>
              <w:keepLines w:val="0"/>
              <w:pageBreakBefore w:val="0"/>
              <w:widowControl w:val="0"/>
              <w:numPr>
                <w:ilvl w:val="0"/>
                <w:numId w:val="3"/>
              </w:numPr>
              <w:kinsoku/>
              <w:wordWrap/>
              <w:overflowPunct/>
              <w:topLinePunct w:val="0"/>
              <w:autoSpaceDE/>
              <w:autoSpaceDN/>
              <w:bidi w:val="0"/>
              <w:adjustRightInd/>
              <w:snapToGrid/>
              <w:spacing w:after="0"/>
              <w:ind w:left="1116" w:leftChars="0"/>
              <w:textAlignment w:val="auto"/>
              <w:rPr>
                <w:rFonts w:hint="default" w:eastAsia="宋体"/>
                <w:color w:val="auto"/>
                <w:sz w:val="20"/>
                <w:szCs w:val="20"/>
                <w:vertAlign w:val="baseline"/>
                <w:lang w:val="en-US" w:eastAsia="zh-CN"/>
              </w:rPr>
            </w:pPr>
            <w:r>
              <w:t>For the draft CRs, add an Editor’s note that: “the scaling factor may be revisited if needed”.</w:t>
            </w:r>
          </w:p>
        </w:tc>
      </w:tr>
    </w:tbl>
    <w:p>
      <w:pPr>
        <w:pStyle w:val="10"/>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Still the suspending part is whether to introduce the the scaling factor larger than 1 in the test. The main reason to decide to apply conducted test for the UE with antenna array, lies in it is hard to apply OTA test for FR1. Regarding the scaling factor, if assuming the sacling factor larger than 1 in the cpmdicted test for FR1, Then some beamforming model is needed to design, then the TE and UE would perform based on the beamforming model instruction. While how to design the beamforming model under the environment of conducted test, it is a bit new and maybe some deeply consideration is needed. Consequently, weighing the pros and cons, performing the conducted test without scaling factor is preferred by us. </w:t>
      </w:r>
    </w:p>
    <w:p>
      <w:pPr>
        <w:pStyle w:val="10"/>
        <w:numPr>
          <w:ilvl w:val="0"/>
          <w:numId w:val="0"/>
        </w:numPr>
        <w:ind w:leftChars="0"/>
        <w:jc w:val="both"/>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 xml:space="preserve">Proposal 1: Performing the conducted test without scaling factor is preferred by us for the UE with antenna array. </w:t>
      </w:r>
    </w:p>
    <w:p>
      <w:pPr>
        <w:pStyle w:val="10"/>
        <w:numPr>
          <w:ilvl w:val="0"/>
          <w:numId w:val="0"/>
        </w:numPr>
        <w:ind w:leftChars="0"/>
        <w:jc w:val="both"/>
        <w:rPr>
          <w:rFonts w:hint="default" w:eastAsia="宋体"/>
          <w:color w:val="auto"/>
          <w:sz w:val="20"/>
          <w:szCs w:val="20"/>
          <w:u w:val="single"/>
          <w:lang w:val="en-US" w:eastAsia="zh-CN"/>
        </w:rPr>
      </w:pPr>
      <w:r>
        <w:rPr>
          <w:rFonts w:hint="eastAsia" w:eastAsia="宋体"/>
          <w:color w:val="auto"/>
          <w:sz w:val="20"/>
          <w:szCs w:val="20"/>
          <w:u w:val="single"/>
          <w:lang w:val="en-US" w:eastAsia="zh-CN"/>
        </w:rPr>
        <w:t>UE mobility/location assumption for location-based CHO</w:t>
      </w:r>
    </w:p>
    <w:p>
      <w:pPr>
        <w:pStyle w:val="10"/>
        <w:numPr>
          <w:ilvl w:val="0"/>
          <w:numId w:val="0"/>
        </w:numPr>
        <w:ind w:leftChars="0"/>
        <w:jc w:val="both"/>
        <w:rPr>
          <w:rFonts w:hint="eastAsia" w:eastAsia="宋体"/>
          <w:color w:val="auto"/>
          <w:sz w:val="20"/>
          <w:szCs w:val="20"/>
          <w:lang w:val="en-US" w:eastAsia="zh-CN"/>
        </w:rPr>
      </w:pPr>
      <w:r>
        <w:rPr>
          <w:rFonts w:hint="eastAsia" w:eastAsia="宋体"/>
          <w:color w:val="auto"/>
          <w:sz w:val="20"/>
          <w:szCs w:val="20"/>
          <w:lang w:val="en-US" w:eastAsia="zh-CN"/>
        </w:rPr>
        <w:t>Regarding the mobility/location assumption for location-based CHO, the following agreements were approved in last meeting:</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b/>
                <w:sz w:val="21"/>
                <w:szCs w:val="21"/>
                <w:u w:val="single"/>
              </w:rPr>
            </w:pPr>
            <w:r>
              <w:rPr>
                <w:rFonts w:hint="eastAsia" w:eastAsia="等线"/>
                <w:sz w:val="21"/>
                <w:szCs w:val="21"/>
                <w:highlight w:val="green"/>
              </w:rPr>
              <w:t>A</w:t>
            </w:r>
            <w:r>
              <w:rPr>
                <w:rFonts w:eastAsia="等线"/>
                <w:sz w:val="21"/>
                <w:szCs w:val="21"/>
                <w:highlight w:val="green"/>
              </w:rPr>
              <w:t>greement</w:t>
            </w:r>
            <w:r>
              <w:rPr>
                <w:rFonts w:eastAsia="等线"/>
                <w:sz w:val="21"/>
                <w:szCs w:val="21"/>
              </w:rPr>
              <w:t>:</w:t>
            </w:r>
          </w:p>
          <w:p>
            <w:pPr>
              <w:pStyle w:val="60"/>
              <w:numPr>
                <w:ilvl w:val="0"/>
                <w:numId w:val="3"/>
              </w:numPr>
              <w:bidi w:val="0"/>
              <w:ind w:left="1020" w:leftChars="0"/>
            </w:pPr>
            <w:r>
              <w:t>[UE location, speed (1200 km/h), heading direction] shall be provide</w:t>
            </w:r>
            <w:r>
              <w:rPr>
                <w:rFonts w:hint="eastAsia"/>
              </w:rPr>
              <w:t>d</w:t>
            </w:r>
            <w:r>
              <w:t xml:space="preserve"> to UE via AT command.</w:t>
            </w:r>
          </w:p>
          <w:p>
            <w:pPr>
              <w:pStyle w:val="60"/>
              <w:numPr>
                <w:ilvl w:val="0"/>
                <w:numId w:val="3"/>
              </w:numPr>
              <w:bidi w:val="0"/>
              <w:ind w:left="1020" w:leftChars="0"/>
            </w:pPr>
            <w:r>
              <w:t>RAN4 is responsible to desi</w:t>
            </w:r>
            <w:r>
              <w:rPr>
                <w:highlight w:val="none"/>
              </w:rPr>
              <w:t>gn the initial UE location, UE speed, reference location, and distance threshold. The UE location change should be set with the consideration of two distance threshold istanceThreshFromReference1 and distanceThreshFromReference2.</w:t>
            </w:r>
          </w:p>
          <w:p>
            <w:pPr>
              <w:pStyle w:val="60"/>
              <w:bidi w:val="0"/>
              <w:ind w:left="1440" w:leftChars="0"/>
            </w:pPr>
            <w:r>
              <w:t>In the intra-frequency distance-based CHO test case, D1-1 and D1-2 location condition can be fulfilled at T2 (earlier than TEvent_DU + Tidentify_intra).</w:t>
            </w:r>
          </w:p>
          <w:p>
            <w:pPr>
              <w:pStyle w:val="60"/>
              <w:bidi w:val="0"/>
              <w:ind w:left="1440" w:leftChars="0"/>
              <w:rPr>
                <w:rFonts w:hint="eastAsia" w:eastAsia="宋体"/>
                <w:color w:val="auto"/>
                <w:sz w:val="20"/>
                <w:szCs w:val="20"/>
                <w:vertAlign w:val="baseline"/>
                <w:lang w:val="en-US" w:eastAsia="zh-CN"/>
              </w:rPr>
            </w:pPr>
            <w:r>
              <w:t>In the inter-frequency distance-based CHO test case, D1-1 and D1-2 location condition can be fulfilled later than T2 (later than TEvent_DU + Tidentify_int</w:t>
            </w:r>
            <w:r>
              <w:rPr>
                <w:rFonts w:hint="eastAsia"/>
              </w:rPr>
              <w:t>er</w:t>
            </w:r>
            <w:r>
              <w:t>)</w:t>
            </w:r>
          </w:p>
        </w:tc>
      </w:tr>
    </w:tbl>
    <w:p>
      <w:pPr>
        <w:pStyle w:val="10"/>
        <w:numPr>
          <w:ilvl w:val="0"/>
          <w:numId w:val="0"/>
        </w:numPr>
        <w:ind w:leftChars="0"/>
        <w:jc w:val="both"/>
        <w:rPr>
          <w:rFonts w:hint="eastAsia"/>
          <w:color w:val="auto"/>
          <w:vertAlign w:val="baseline"/>
          <w:lang w:val="en-US" w:eastAsia="zh-CN"/>
        </w:rPr>
      </w:pPr>
      <w:r>
        <w:rPr>
          <w:rFonts w:hint="eastAsia" w:eastAsia="宋体"/>
          <w:color w:val="auto"/>
          <w:sz w:val="20"/>
          <w:szCs w:val="20"/>
          <w:lang w:val="en-US" w:eastAsia="zh-CN"/>
        </w:rPr>
        <w:t xml:space="preserve">For location-based CHO in ATG, </w:t>
      </w:r>
      <w:r>
        <w:rPr>
          <w:rFonts w:hint="eastAsia" w:eastAsia="宋体"/>
          <w:color w:val="auto"/>
          <w:sz w:val="20"/>
          <w:szCs w:val="20"/>
          <w:highlight w:val="none"/>
          <w:lang w:val="en-US" w:eastAsia="zh-CN"/>
        </w:rPr>
        <w:t xml:space="preserve">it is approved that reusing the </w:t>
      </w:r>
      <w:r>
        <w:rPr>
          <w:rFonts w:eastAsia="宋体"/>
          <w:sz w:val="20"/>
          <w:szCs w:val="20"/>
        </w:rPr>
        <w:t>definition of distanceThreshFromReference1 of NTN</w:t>
      </w:r>
      <w:r>
        <w:rPr>
          <w:rFonts w:hint="eastAsia" w:eastAsia="宋体"/>
          <w:sz w:val="20"/>
          <w:szCs w:val="20"/>
          <w:lang w:val="en-US" w:eastAsia="zh-CN"/>
        </w:rPr>
        <w:t xml:space="preserve">. The CondEvent D1 is used to trigger the location based CHO in R17 NTN as below with the exact signalling configuration. So as to trigger the CondEvent D1, if the GNSS change is considered in the test, then the GNSS change should guarantee both sub conditions fulfilled, i.e. distance 1 becomes larger than </w:t>
      </w:r>
      <w:r>
        <w:rPr>
          <w:rFonts w:hint="default"/>
          <w:i/>
          <w:iCs/>
          <w:color w:val="auto"/>
          <w:vertAlign w:val="baseline"/>
          <w:lang w:val="en-US" w:eastAsia="zh-CN"/>
        </w:rPr>
        <w:t>distanceThreshFromReference1</w:t>
      </w:r>
      <w:r>
        <w:rPr>
          <w:rFonts w:hint="eastAsia"/>
          <w:color w:val="auto"/>
          <w:vertAlign w:val="baseline"/>
          <w:lang w:val="en-US" w:eastAsia="zh-CN"/>
        </w:rPr>
        <w:t xml:space="preserve"> and </w:t>
      </w:r>
      <w:r>
        <w:rPr>
          <w:rFonts w:hint="eastAsia" w:eastAsia="宋体"/>
          <w:sz w:val="20"/>
          <w:szCs w:val="20"/>
          <w:lang w:val="en-US" w:eastAsia="zh-CN"/>
        </w:rPr>
        <w:t xml:space="preserve">distance 2 becomes smaller than </w:t>
      </w:r>
      <w:r>
        <w:rPr>
          <w:rFonts w:hint="default"/>
          <w:i/>
          <w:iCs/>
          <w:color w:val="auto"/>
          <w:vertAlign w:val="baseline"/>
          <w:lang w:val="en-US" w:eastAsia="zh-CN"/>
        </w:rPr>
        <w:t>distanceThreshFromReference</w:t>
      </w:r>
      <w:r>
        <w:rPr>
          <w:rFonts w:hint="eastAsia"/>
          <w:i/>
          <w:iCs/>
          <w:color w:val="auto"/>
          <w:vertAlign w:val="baseline"/>
          <w:lang w:val="en-US" w:eastAsia="zh-CN"/>
        </w:rPr>
        <w:t>2</w:t>
      </w:r>
      <w:r>
        <w:rPr>
          <w:rFonts w:hint="eastAsia"/>
          <w:color w:val="auto"/>
          <w:vertAlign w:val="baseline"/>
          <w:lang w:val="en-US" w:eastAsia="zh-CN"/>
        </w:rPr>
        <w:t>. So the setting of GNSS change should consider the both distance threshold, e.g. set the GNSS change is no less than max{</w:t>
      </w:r>
      <w:r>
        <w:rPr>
          <w:rFonts w:hint="default"/>
          <w:i/>
          <w:iCs/>
          <w:color w:val="auto"/>
          <w:vertAlign w:val="baseline"/>
          <w:lang w:val="en-US" w:eastAsia="zh-CN"/>
        </w:rPr>
        <w:t>distanceThreshFromReference1</w:t>
      </w:r>
      <w:r>
        <w:rPr>
          <w:rFonts w:hint="eastAsia"/>
          <w:i/>
          <w:iCs/>
          <w:color w:val="auto"/>
          <w:vertAlign w:val="baseline"/>
          <w:lang w:val="en-US" w:eastAsia="zh-CN"/>
        </w:rPr>
        <w:t>,</w:t>
      </w:r>
      <w:r>
        <w:rPr>
          <w:rFonts w:hint="default"/>
          <w:i/>
          <w:iCs/>
          <w:color w:val="auto"/>
          <w:vertAlign w:val="baseline"/>
          <w:lang w:val="en-US" w:eastAsia="zh-CN"/>
        </w:rPr>
        <w:t>distanceThreshFromReference</w:t>
      </w:r>
      <w:r>
        <w:rPr>
          <w:rFonts w:hint="eastAsia"/>
          <w:i/>
          <w:iCs/>
          <w:color w:val="auto"/>
          <w:vertAlign w:val="baseline"/>
          <w:lang w:val="en-US" w:eastAsia="zh-CN"/>
        </w:rPr>
        <w:t>2</w:t>
      </w:r>
      <w:r>
        <w:rPr>
          <w:rFonts w:hint="eastAsia"/>
          <w:color w:val="auto"/>
          <w:vertAlign w:val="baseline"/>
          <w:lang w:val="en-US" w:eastAsia="zh-CN"/>
        </w:rPr>
        <w:t>}+50m.</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numPr>
                <w:ilvl w:val="0"/>
                <w:numId w:val="0"/>
              </w:numPr>
              <w:autoSpaceDE w:val="0"/>
              <w:autoSpaceDN w:val="0"/>
              <w:adjustRightInd w:val="0"/>
              <w:spacing w:after="0" w:line="240" w:lineRule="auto"/>
              <w:rPr>
                <w:rFonts w:hint="default"/>
                <w:color w:val="auto"/>
                <w:vertAlign w:val="baseline"/>
                <w:lang w:val="en-US" w:eastAsia="zh-CN"/>
              </w:rPr>
            </w:pPr>
            <w:r>
              <w:rPr>
                <w:rFonts w:hint="default"/>
                <w:color w:val="auto"/>
                <w:vertAlign w:val="baseline"/>
                <w:lang w:val="en-US" w:eastAsia="zh-CN"/>
              </w:rPr>
              <w:t>CondEvent D1: Distance between UE and a reference location referenceLocation1 becomes larger than configured threshold distanceThreshFromReference1 and distance between UE and a reference location referenceLocation2 of conditional reconfiguration candidate becomes shorter than configured threshold distanceThreshFromReference2;</w:t>
            </w:r>
          </w:p>
          <w:p>
            <w:pPr>
              <w:pStyle w:val="59"/>
              <w:widowControl w:val="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utoSpaceDE w:val="0"/>
              <w:autoSpaceDN w:val="0"/>
              <w:adjustRightInd w:val="0"/>
              <w:spacing w:after="0" w:line="240" w:lineRule="auto"/>
            </w:pPr>
            <w:r>
              <w:t xml:space="preserve">  eventD1-r17                                 </w:t>
            </w:r>
            <w:r>
              <w:rPr>
                <w:color w:val="993366"/>
              </w:rPr>
              <w:t>SEQUENCE</w:t>
            </w:r>
            <w:r>
              <w:t xml:space="preserve"> {</w:t>
            </w:r>
          </w:p>
          <w:p>
            <w:pPr>
              <w:pStyle w:val="59"/>
              <w:widowControl w:val="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utoSpaceDE w:val="0"/>
              <w:autoSpaceDN w:val="0"/>
              <w:adjustRightInd w:val="0"/>
              <w:spacing w:after="0" w:line="240" w:lineRule="auto"/>
            </w:pPr>
            <w:r>
              <w:t xml:space="preserve">            distanceThreshFromReference1-r17            </w:t>
            </w:r>
            <w:r>
              <w:rPr>
                <w:color w:val="993366"/>
              </w:rPr>
              <w:t>INTEGER</w:t>
            </w:r>
            <w:r>
              <w:t>(1.. 65525),</w:t>
            </w:r>
          </w:p>
          <w:p>
            <w:pPr>
              <w:pStyle w:val="59"/>
              <w:widowControl w:val="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utoSpaceDE w:val="0"/>
              <w:autoSpaceDN w:val="0"/>
              <w:adjustRightInd w:val="0"/>
              <w:spacing w:after="0" w:line="240" w:lineRule="auto"/>
            </w:pPr>
            <w:r>
              <w:t xml:space="preserve">            distanceThreshFromReference2-r17            </w:t>
            </w:r>
            <w:r>
              <w:rPr>
                <w:color w:val="993366"/>
              </w:rPr>
              <w:t>INTEGER</w:t>
            </w:r>
            <w:r>
              <w:t>(1.. 65525),</w:t>
            </w:r>
          </w:p>
          <w:p>
            <w:pPr>
              <w:pStyle w:val="59"/>
              <w:widowControl w:val="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utoSpaceDE w:val="0"/>
              <w:autoSpaceDN w:val="0"/>
              <w:adjustRightInd w:val="0"/>
              <w:spacing w:after="0" w:line="240" w:lineRule="auto"/>
            </w:pPr>
            <w:r>
              <w:t xml:space="preserve">            referenceLocation1-r17                      ReferenceLocation-r17,</w:t>
            </w:r>
          </w:p>
          <w:p>
            <w:pPr>
              <w:pStyle w:val="59"/>
              <w:widowControl w:val="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utoSpaceDE w:val="0"/>
              <w:autoSpaceDN w:val="0"/>
              <w:adjustRightInd w:val="0"/>
              <w:spacing w:after="0" w:line="240" w:lineRule="auto"/>
            </w:pPr>
            <w:r>
              <w:t xml:space="preserve">            referenceLocation2-r17                      ReferenceLocation-r17,</w:t>
            </w:r>
          </w:p>
          <w:p>
            <w:pPr>
              <w:pStyle w:val="59"/>
              <w:widowControl w:val="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utoSpaceDE w:val="0"/>
              <w:autoSpaceDN w:val="0"/>
              <w:adjustRightInd w:val="0"/>
              <w:spacing w:after="0" w:line="240" w:lineRule="auto"/>
            </w:pPr>
            <w:r>
              <w:t xml:space="preserve">            reportOnLeave-r17                           </w:t>
            </w:r>
            <w:r>
              <w:rPr>
                <w:color w:val="993366"/>
              </w:rPr>
              <w:t>BOOLEAN</w:t>
            </w:r>
            <w:r>
              <w:t>,</w:t>
            </w:r>
          </w:p>
          <w:p>
            <w:pPr>
              <w:pStyle w:val="59"/>
              <w:widowControl w:val="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utoSpaceDE w:val="0"/>
              <w:autoSpaceDN w:val="0"/>
              <w:adjustRightInd w:val="0"/>
              <w:spacing w:after="0" w:line="240" w:lineRule="auto"/>
            </w:pPr>
            <w:r>
              <w:t xml:space="preserve">            hysteresisLocation-r17                      HysteresisLocation-r17,</w:t>
            </w:r>
          </w:p>
          <w:p>
            <w:pPr>
              <w:pStyle w:val="59"/>
              <w:widowControl w:val="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utoSpaceDE w:val="0"/>
              <w:autoSpaceDN w:val="0"/>
              <w:adjustRightInd w:val="0"/>
              <w:spacing w:after="0" w:line="240" w:lineRule="auto"/>
            </w:pPr>
            <w:r>
              <w:t xml:space="preserve">            timeToTrigger-r17                           TimeToTrigger</w:t>
            </w:r>
          </w:p>
          <w:p>
            <w:pPr>
              <w:pStyle w:val="59"/>
              <w:widowControl w:val="0"/>
              <w:tabs>
                <w:tab w:val="clear" w:pos="9582"/>
                <w:tab w:val="clear" w:pos="9968"/>
                <w:tab w:val="clear" w:pos="10348"/>
                <w:tab w:val="clear" w:pos="10733"/>
                <w:tab w:val="clear" w:pos="11113"/>
                <w:tab w:val="clear" w:pos="11499"/>
                <w:tab w:val="clear" w:pos="11884"/>
                <w:tab w:val="clear" w:pos="12264"/>
                <w:tab w:val="clear" w:pos="12650"/>
                <w:tab w:val="clear" w:pos="13030"/>
                <w:tab w:val="clear" w:pos="13415"/>
                <w:tab w:val="clear" w:pos="13801"/>
                <w:tab w:val="clear" w:pos="14181"/>
              </w:tabs>
              <w:autoSpaceDE w:val="0"/>
              <w:autoSpaceDN w:val="0"/>
              <w:adjustRightInd w:val="0"/>
              <w:spacing w:after="0" w:line="240" w:lineRule="auto"/>
              <w:rPr>
                <w:rFonts w:hint="default" w:cs="Times New Roman"/>
                <w:b w:val="0"/>
                <w:bCs/>
                <w:color w:val="0000FF"/>
                <w:kern w:val="44"/>
                <w:sz w:val="18"/>
                <w:szCs w:val="18"/>
                <w:lang w:val="en-US" w:eastAsia="zh-CN" w:bidi="ar-SA"/>
              </w:rPr>
            </w:pPr>
            <w:r>
              <w:t xml:space="preserve">        }</w:t>
            </w:r>
          </w:p>
        </w:tc>
      </w:tr>
    </w:tbl>
    <w:p>
      <w:pPr>
        <w:pStyle w:val="10"/>
        <w:keepNext w:val="0"/>
        <w:keepLines w:val="0"/>
        <w:pageBreakBefore w:val="0"/>
        <w:widowControl/>
        <w:numPr>
          <w:ilvl w:val="0"/>
          <w:numId w:val="0"/>
        </w:numPr>
        <w:kinsoku/>
        <w:wordWrap/>
        <w:overflowPunct/>
        <w:topLinePunct w:val="0"/>
        <w:autoSpaceDE/>
        <w:autoSpaceDN/>
        <w:bidi w:val="0"/>
        <w:adjustRightInd/>
        <w:snapToGrid/>
        <w:spacing w:before="157" w:beforeLines="50" w:after="0"/>
        <w:ind w:leftChars="0"/>
        <w:jc w:val="both"/>
        <w:textAlignment w:val="auto"/>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 xml:space="preserve">Proposal 2: The GNSS change should be set with the consideration of two distance threshold </w:t>
      </w:r>
      <w:r>
        <w:rPr>
          <w:rFonts w:hint="eastAsia" w:eastAsia="宋体" w:cs="Times New Roman"/>
          <w:b/>
          <w:bCs/>
          <w:i/>
          <w:iCs/>
          <w:color w:val="auto"/>
          <w:sz w:val="20"/>
          <w:szCs w:val="20"/>
          <w:highlight w:val="none"/>
          <w:lang w:val="en-US" w:eastAsia="zh-CN" w:bidi="ar-SA"/>
        </w:rPr>
        <w:t>d</w:t>
      </w:r>
      <w:r>
        <w:rPr>
          <w:rFonts w:hint="default" w:eastAsia="宋体" w:cs="Times New Roman"/>
          <w:b/>
          <w:bCs/>
          <w:i/>
          <w:iCs/>
          <w:color w:val="auto"/>
          <w:sz w:val="20"/>
          <w:szCs w:val="20"/>
          <w:highlight w:val="none"/>
          <w:lang w:val="en-US" w:eastAsia="zh-CN" w:bidi="ar-SA"/>
        </w:rPr>
        <w:t>istanceThreshFromReference1</w:t>
      </w:r>
      <w:r>
        <w:rPr>
          <w:rFonts w:hint="eastAsia" w:eastAsia="宋体" w:cs="Times New Roman"/>
          <w:b/>
          <w:bCs/>
          <w:color w:val="auto"/>
          <w:sz w:val="20"/>
          <w:szCs w:val="20"/>
          <w:highlight w:val="none"/>
          <w:lang w:val="en-US" w:eastAsia="zh-CN" w:bidi="ar-SA"/>
        </w:rPr>
        <w:t xml:space="preserve"> and </w:t>
      </w:r>
      <w:r>
        <w:rPr>
          <w:rFonts w:hint="default" w:eastAsia="宋体" w:cs="Times New Roman"/>
          <w:b/>
          <w:bCs/>
          <w:i/>
          <w:iCs/>
          <w:color w:val="auto"/>
          <w:sz w:val="20"/>
          <w:szCs w:val="20"/>
          <w:highlight w:val="none"/>
          <w:lang w:val="en-US" w:eastAsia="zh-CN" w:bidi="ar-SA"/>
        </w:rPr>
        <w:t>distanceThreshFromReference</w:t>
      </w:r>
      <w:r>
        <w:rPr>
          <w:rFonts w:hint="eastAsia" w:eastAsia="宋体" w:cs="Times New Roman"/>
          <w:b/>
          <w:bCs/>
          <w:i/>
          <w:iCs/>
          <w:color w:val="auto"/>
          <w:sz w:val="20"/>
          <w:szCs w:val="20"/>
          <w:highlight w:val="none"/>
          <w:lang w:val="en-US" w:eastAsia="zh-CN" w:bidi="ar-SA"/>
        </w:rPr>
        <w:t>2</w:t>
      </w:r>
      <w:r>
        <w:rPr>
          <w:rFonts w:hint="eastAsia" w:eastAsia="宋体" w:cs="Times New Roman"/>
          <w:b/>
          <w:bCs/>
          <w:color w:val="auto"/>
          <w:sz w:val="20"/>
          <w:szCs w:val="20"/>
          <w:highlight w:val="none"/>
          <w:lang w:val="en-US" w:eastAsia="zh-CN" w:bidi="ar-SA"/>
        </w:rPr>
        <w:t>, e.g. max{</w:t>
      </w:r>
      <w:r>
        <w:rPr>
          <w:rFonts w:hint="default" w:eastAsia="宋体" w:cs="Times New Roman"/>
          <w:b/>
          <w:bCs/>
          <w:i/>
          <w:iCs/>
          <w:color w:val="auto"/>
          <w:sz w:val="20"/>
          <w:szCs w:val="20"/>
          <w:highlight w:val="none"/>
          <w:lang w:val="en-US" w:eastAsia="zh-CN" w:bidi="ar-SA"/>
        </w:rPr>
        <w:t>distanceThreshFromReference1</w:t>
      </w:r>
      <w:r>
        <w:rPr>
          <w:rFonts w:hint="eastAsia" w:eastAsia="宋体" w:cs="Times New Roman"/>
          <w:b/>
          <w:bCs/>
          <w:i/>
          <w:iCs/>
          <w:color w:val="auto"/>
          <w:sz w:val="20"/>
          <w:szCs w:val="20"/>
          <w:highlight w:val="none"/>
          <w:lang w:val="en-US" w:eastAsia="zh-CN" w:bidi="ar-SA"/>
        </w:rPr>
        <w:t>,</w:t>
      </w:r>
      <w:r>
        <w:rPr>
          <w:rFonts w:hint="default" w:eastAsia="宋体" w:cs="Times New Roman"/>
          <w:b/>
          <w:bCs/>
          <w:i/>
          <w:iCs/>
          <w:color w:val="auto"/>
          <w:sz w:val="20"/>
          <w:szCs w:val="20"/>
          <w:highlight w:val="none"/>
          <w:lang w:val="en-US" w:eastAsia="zh-CN" w:bidi="ar-SA"/>
        </w:rPr>
        <w:t>distanceThreshFromReference</w:t>
      </w:r>
      <w:r>
        <w:rPr>
          <w:rFonts w:hint="eastAsia" w:eastAsia="宋体" w:cs="Times New Roman"/>
          <w:b/>
          <w:bCs/>
          <w:i/>
          <w:iCs/>
          <w:color w:val="auto"/>
          <w:sz w:val="20"/>
          <w:szCs w:val="20"/>
          <w:highlight w:val="none"/>
          <w:lang w:val="en-US" w:eastAsia="zh-CN" w:bidi="ar-SA"/>
        </w:rPr>
        <w:t>2</w:t>
      </w:r>
      <w:r>
        <w:rPr>
          <w:rFonts w:hint="eastAsia" w:eastAsia="宋体" w:cs="Times New Roman"/>
          <w:b/>
          <w:bCs/>
          <w:color w:val="auto"/>
          <w:sz w:val="20"/>
          <w:szCs w:val="20"/>
          <w:highlight w:val="none"/>
          <w:lang w:val="en-US" w:eastAsia="zh-CN" w:bidi="ar-SA"/>
        </w:rPr>
        <w:t>}+50m.</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10"/>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test of ATG UE</w:t>
      </w:r>
      <w:r>
        <w:rPr>
          <w:rFonts w:eastAsia="宋体"/>
          <w:bCs/>
          <w:color w:val="auto"/>
          <w:sz w:val="20"/>
          <w:szCs w:val="20"/>
          <w:lang w:val="en-GB" w:eastAsia="zh-CN"/>
        </w:rPr>
        <w:t>:</w:t>
      </w:r>
    </w:p>
    <w:p>
      <w:pPr>
        <w:pStyle w:val="10"/>
        <w:numPr>
          <w:ilvl w:val="0"/>
          <w:numId w:val="0"/>
        </w:numPr>
        <w:ind w:leftChars="0"/>
        <w:jc w:val="both"/>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 xml:space="preserve">Proposal 1: Performing the conducted test without scaling factor is preferred by us for the UE with antenna array. </w:t>
      </w:r>
    </w:p>
    <w:p>
      <w:pPr>
        <w:pStyle w:val="10"/>
        <w:keepNext w:val="0"/>
        <w:keepLines w:val="0"/>
        <w:pageBreakBefore w:val="0"/>
        <w:widowControl/>
        <w:numPr>
          <w:ilvl w:val="0"/>
          <w:numId w:val="0"/>
        </w:numPr>
        <w:kinsoku/>
        <w:wordWrap/>
        <w:overflowPunct/>
        <w:topLinePunct w:val="0"/>
        <w:autoSpaceDE/>
        <w:autoSpaceDN/>
        <w:bidi w:val="0"/>
        <w:adjustRightInd/>
        <w:snapToGrid/>
        <w:spacing w:before="157" w:beforeLines="50" w:after="0"/>
        <w:ind w:leftChars="0"/>
        <w:jc w:val="both"/>
        <w:textAlignment w:val="auto"/>
        <w:rPr>
          <w:rFonts w:hint="default" w:eastAsia="宋体"/>
          <w:color w:val="auto"/>
          <w:sz w:val="20"/>
          <w:szCs w:val="20"/>
          <w:lang w:val="en-US" w:eastAsia="zh-CN"/>
        </w:rPr>
      </w:pPr>
      <w:r>
        <w:rPr>
          <w:rFonts w:hint="eastAsia" w:eastAsia="宋体" w:cs="Times New Roman"/>
          <w:b/>
          <w:bCs/>
          <w:color w:val="auto"/>
          <w:sz w:val="20"/>
          <w:szCs w:val="20"/>
          <w:highlight w:val="none"/>
          <w:lang w:val="en-US" w:eastAsia="zh-CN" w:bidi="ar-SA"/>
        </w:rPr>
        <w:t xml:space="preserve">Proposal 2: The GNSS change should be set with the consideration of two distance threshold </w:t>
      </w:r>
      <w:r>
        <w:rPr>
          <w:rFonts w:hint="eastAsia" w:eastAsia="宋体" w:cs="Times New Roman"/>
          <w:b/>
          <w:bCs/>
          <w:i/>
          <w:iCs/>
          <w:color w:val="auto"/>
          <w:sz w:val="20"/>
          <w:szCs w:val="20"/>
          <w:highlight w:val="none"/>
          <w:lang w:val="en-US" w:eastAsia="zh-CN" w:bidi="ar-SA"/>
        </w:rPr>
        <w:t>d</w:t>
      </w:r>
      <w:r>
        <w:rPr>
          <w:rFonts w:hint="default" w:eastAsia="宋体" w:cs="Times New Roman"/>
          <w:b/>
          <w:bCs/>
          <w:i/>
          <w:iCs/>
          <w:color w:val="auto"/>
          <w:sz w:val="20"/>
          <w:szCs w:val="20"/>
          <w:highlight w:val="none"/>
          <w:lang w:val="en-US" w:eastAsia="zh-CN" w:bidi="ar-SA"/>
        </w:rPr>
        <w:t>istanceThreshFromReference1</w:t>
      </w:r>
      <w:r>
        <w:rPr>
          <w:rFonts w:hint="eastAsia" w:eastAsia="宋体" w:cs="Times New Roman"/>
          <w:b/>
          <w:bCs/>
          <w:color w:val="auto"/>
          <w:sz w:val="20"/>
          <w:szCs w:val="20"/>
          <w:highlight w:val="none"/>
          <w:lang w:val="en-US" w:eastAsia="zh-CN" w:bidi="ar-SA"/>
        </w:rPr>
        <w:t xml:space="preserve"> and </w:t>
      </w:r>
      <w:r>
        <w:rPr>
          <w:rFonts w:hint="default" w:eastAsia="宋体" w:cs="Times New Roman"/>
          <w:b/>
          <w:bCs/>
          <w:i/>
          <w:iCs/>
          <w:color w:val="auto"/>
          <w:sz w:val="20"/>
          <w:szCs w:val="20"/>
          <w:highlight w:val="none"/>
          <w:lang w:val="en-US" w:eastAsia="zh-CN" w:bidi="ar-SA"/>
        </w:rPr>
        <w:t>distanceThreshFromReference</w:t>
      </w:r>
      <w:r>
        <w:rPr>
          <w:rFonts w:hint="eastAsia" w:eastAsia="宋体" w:cs="Times New Roman"/>
          <w:b/>
          <w:bCs/>
          <w:i/>
          <w:iCs/>
          <w:color w:val="auto"/>
          <w:sz w:val="20"/>
          <w:szCs w:val="20"/>
          <w:highlight w:val="none"/>
          <w:lang w:val="en-US" w:eastAsia="zh-CN" w:bidi="ar-SA"/>
        </w:rPr>
        <w:t>2</w:t>
      </w:r>
      <w:r>
        <w:rPr>
          <w:rFonts w:hint="eastAsia" w:eastAsia="宋体" w:cs="Times New Roman"/>
          <w:b/>
          <w:bCs/>
          <w:color w:val="auto"/>
          <w:sz w:val="20"/>
          <w:szCs w:val="20"/>
          <w:highlight w:val="none"/>
          <w:lang w:val="en-US" w:eastAsia="zh-CN" w:bidi="ar-SA"/>
        </w:rPr>
        <w:t>, e.g. max{</w:t>
      </w:r>
      <w:r>
        <w:rPr>
          <w:rFonts w:hint="default" w:eastAsia="宋体" w:cs="Times New Roman"/>
          <w:b/>
          <w:bCs/>
          <w:i/>
          <w:iCs/>
          <w:color w:val="auto"/>
          <w:sz w:val="20"/>
          <w:szCs w:val="20"/>
          <w:highlight w:val="none"/>
          <w:lang w:val="en-US" w:eastAsia="zh-CN" w:bidi="ar-SA"/>
        </w:rPr>
        <w:t>distanceThreshFromReference1</w:t>
      </w:r>
      <w:r>
        <w:rPr>
          <w:rFonts w:hint="eastAsia" w:eastAsia="宋体" w:cs="Times New Roman"/>
          <w:b/>
          <w:bCs/>
          <w:i/>
          <w:iCs/>
          <w:color w:val="auto"/>
          <w:sz w:val="20"/>
          <w:szCs w:val="20"/>
          <w:highlight w:val="none"/>
          <w:lang w:val="en-US" w:eastAsia="zh-CN" w:bidi="ar-SA"/>
        </w:rPr>
        <w:t>,</w:t>
      </w:r>
      <w:r>
        <w:rPr>
          <w:rFonts w:hint="default" w:eastAsia="宋体" w:cs="Times New Roman"/>
          <w:b/>
          <w:bCs/>
          <w:i/>
          <w:iCs/>
          <w:color w:val="auto"/>
          <w:sz w:val="20"/>
          <w:szCs w:val="20"/>
          <w:highlight w:val="none"/>
          <w:lang w:val="en-US" w:eastAsia="zh-CN" w:bidi="ar-SA"/>
        </w:rPr>
        <w:t>distanceThreshFromReference</w:t>
      </w:r>
      <w:r>
        <w:rPr>
          <w:rFonts w:hint="eastAsia" w:eastAsia="宋体" w:cs="Times New Roman"/>
          <w:b/>
          <w:bCs/>
          <w:i/>
          <w:iCs/>
          <w:color w:val="auto"/>
          <w:sz w:val="20"/>
          <w:szCs w:val="20"/>
          <w:highlight w:val="none"/>
          <w:lang w:val="en-US" w:eastAsia="zh-CN" w:bidi="ar-SA"/>
        </w:rPr>
        <w:t>2</w:t>
      </w:r>
      <w:r>
        <w:rPr>
          <w:rFonts w:hint="eastAsia" w:eastAsia="宋体" w:cs="Times New Roman"/>
          <w:b/>
          <w:bCs/>
          <w:color w:val="auto"/>
          <w:sz w:val="20"/>
          <w:szCs w:val="20"/>
          <w:highlight w:val="none"/>
          <w:lang w:val="en-US" w:eastAsia="zh-CN" w:bidi="ar-SA"/>
        </w:rPr>
        <w:t>}+50m.</w:t>
      </w:r>
    </w:p>
    <w:p>
      <w:pPr>
        <w:pStyle w:val="10"/>
        <w:tabs>
          <w:tab w:val="left" w:pos="226"/>
          <w:tab w:val="left" w:pos="284"/>
          <w:tab w:val="left" w:pos="5103"/>
        </w:tabs>
        <w:snapToGrid w:val="0"/>
        <w:rPr>
          <w:rFonts w:eastAsia="宋体"/>
          <w:bCs/>
          <w:color w:val="auto"/>
          <w:sz w:val="20"/>
          <w:szCs w:val="20"/>
          <w:lang w:val="en-GB" w:eastAsia="zh-CN"/>
        </w:rPr>
      </w:pP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1"/>
        <w:numPr>
          <w:ilvl w:val="0"/>
          <w:numId w:val="5"/>
        </w:numPr>
        <w:ind w:leftChars="0"/>
        <w:rPr>
          <w:rFonts w:hint="eastAsia"/>
          <w:color w:val="auto"/>
          <w:highlight w:val="none"/>
          <w:lang w:val="en-US" w:eastAsia="zh-CN"/>
        </w:rPr>
      </w:pPr>
      <w:r>
        <w:rPr>
          <w:rFonts w:hint="eastAsia"/>
          <w:color w:val="auto"/>
          <w:highlight w:val="none"/>
          <w:lang w:val="en-US" w:eastAsia="zh-CN"/>
        </w:rPr>
        <w:t xml:space="preserve">R4-2403467 </w:t>
      </w:r>
      <w:r>
        <w:rPr>
          <w:rFonts w:hint="default"/>
          <w:color w:val="auto"/>
          <w:highlight w:val="none"/>
          <w:lang w:val="en-US" w:eastAsia="zh-CN"/>
        </w:rPr>
        <w:t>“LS on Layer-2/3 ATG UE features”</w:t>
      </w:r>
      <w:r>
        <w:rPr>
          <w:rFonts w:hint="eastAsia"/>
          <w:color w:val="auto"/>
          <w:highlight w:val="none"/>
          <w:lang w:val="en-US" w:eastAsia="zh-CN"/>
        </w:rPr>
        <w:t>, CMCC</w:t>
      </w:r>
    </w:p>
    <w:p>
      <w:pPr>
        <w:pStyle w:val="11"/>
        <w:numPr>
          <w:ilvl w:val="0"/>
          <w:numId w:val="5"/>
        </w:numPr>
        <w:ind w:leftChars="0"/>
        <w:rPr>
          <w:rFonts w:hint="default"/>
          <w:color w:val="auto"/>
          <w:highlight w:val="none"/>
          <w:lang w:val="en-US" w:eastAsia="zh-CN"/>
        </w:rPr>
      </w:pPr>
      <w:r>
        <w:rPr>
          <w:rFonts w:hint="eastAsia"/>
          <w:color w:val="auto"/>
          <w:highlight w:val="none"/>
          <w:lang w:val="en-US" w:eastAsia="zh-CN"/>
        </w:rPr>
        <w:t xml:space="preserve">R4-2403545 </w:t>
      </w:r>
      <w:r>
        <w:rPr>
          <w:rFonts w:hint="default"/>
          <w:color w:val="auto"/>
          <w:highlight w:val="none"/>
          <w:lang w:val="en-US" w:eastAsia="zh-CN"/>
        </w:rPr>
        <w:t>“</w:t>
      </w:r>
      <w:r>
        <w:rPr>
          <w:rFonts w:hint="eastAsia"/>
          <w:sz w:val="22"/>
        </w:rPr>
        <w:t>WF on RRM requirements for NR ATG</w:t>
      </w:r>
      <w:r>
        <w:rPr>
          <w:rFonts w:hint="default"/>
          <w:color w:val="auto"/>
          <w:highlight w:val="none"/>
          <w:lang w:val="en-US" w:eastAsia="zh-CN"/>
        </w:rPr>
        <w:t>”</w:t>
      </w:r>
      <w:r>
        <w:rPr>
          <w:rFonts w:hint="eastAsia"/>
          <w:color w:val="auto"/>
          <w:highlight w:val="none"/>
          <w:lang w:val="en-US" w:eastAsia="zh-CN"/>
        </w:rPr>
        <w:t>, CMCC</w:t>
      </w: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Yu Mincho">
    <w:altName w:val="MS Mincho"/>
    <w:panose1 w:val="00000000000000000000"/>
    <w:charset w:val="80"/>
    <w:family w:val="roman"/>
    <w:pitch w:val="default"/>
    <w:sig w:usb0="00000000" w:usb1="00000000" w:usb2="00000012" w:usb3="00000000" w:csb0="0002009F" w:csb1="00000000"/>
  </w:font>
  <w:font w:name="等线">
    <w:altName w:val="Arial Unicode MS"/>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1E2749"/>
    <w:multiLevelType w:val="singleLevel"/>
    <w:tmpl w:val="FC1E2749"/>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D6E3167"/>
    <w:multiLevelType w:val="multilevel"/>
    <w:tmpl w:val="4D6E3167"/>
    <w:lvl w:ilvl="0" w:tentative="0">
      <w:start w:val="1"/>
      <w:numFmt w:val="decimal"/>
      <w:pStyle w:val="44"/>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pStyle w:val="60"/>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0"/>
      <w:numFmt w:val="bullet"/>
      <w:lvlText w:val="-"/>
      <w:lvlJc w:val="left"/>
      <w:pPr>
        <w:tabs>
          <w:tab w:val="left" w:pos="-420"/>
        </w:tabs>
        <w:ind w:left="4116" w:hanging="360"/>
      </w:pPr>
      <w:rPr>
        <w:rFonts w:hint="default" w:ascii="Times New Roman" w:hAnsi="Times New Roman" w:eastAsia="Yu Mincho" w:cs="Times New Roman"/>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4">
    <w:nsid w:val="6B5B4F67"/>
    <w:multiLevelType w:val="multilevel"/>
    <w:tmpl w:val="6B5B4F67"/>
    <w:lvl w:ilvl="0" w:tentative="0">
      <w:start w:val="1"/>
      <w:numFmt w:val="decimal"/>
      <w:pStyle w:val="11"/>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4B"/>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7D0CB3"/>
    <w:rsid w:val="03D4720A"/>
    <w:rsid w:val="04654053"/>
    <w:rsid w:val="04793516"/>
    <w:rsid w:val="047A3CFF"/>
    <w:rsid w:val="04E73AD0"/>
    <w:rsid w:val="05000747"/>
    <w:rsid w:val="05317828"/>
    <w:rsid w:val="05477E90"/>
    <w:rsid w:val="05BB5AB9"/>
    <w:rsid w:val="05C42923"/>
    <w:rsid w:val="06226EA6"/>
    <w:rsid w:val="065C04B2"/>
    <w:rsid w:val="06963BA6"/>
    <w:rsid w:val="07CB1C61"/>
    <w:rsid w:val="07CD3CDD"/>
    <w:rsid w:val="07F64CE8"/>
    <w:rsid w:val="083E6EA0"/>
    <w:rsid w:val="084E5514"/>
    <w:rsid w:val="0855671D"/>
    <w:rsid w:val="08773328"/>
    <w:rsid w:val="0889722D"/>
    <w:rsid w:val="089009EB"/>
    <w:rsid w:val="08EA2407"/>
    <w:rsid w:val="09716BCA"/>
    <w:rsid w:val="09C27532"/>
    <w:rsid w:val="09D64B23"/>
    <w:rsid w:val="09E644B8"/>
    <w:rsid w:val="0A867423"/>
    <w:rsid w:val="0AB155C2"/>
    <w:rsid w:val="0B12013A"/>
    <w:rsid w:val="0B3D3C2F"/>
    <w:rsid w:val="0BB0429A"/>
    <w:rsid w:val="0BDD6CEC"/>
    <w:rsid w:val="0BFF5FC6"/>
    <w:rsid w:val="0C394019"/>
    <w:rsid w:val="0CD05342"/>
    <w:rsid w:val="0CDB4E5B"/>
    <w:rsid w:val="0CF2414E"/>
    <w:rsid w:val="0D244E26"/>
    <w:rsid w:val="0DEE745F"/>
    <w:rsid w:val="0DFD7458"/>
    <w:rsid w:val="0E104B55"/>
    <w:rsid w:val="0F0A6D3C"/>
    <w:rsid w:val="0FAD3D1E"/>
    <w:rsid w:val="102263EF"/>
    <w:rsid w:val="10293D80"/>
    <w:rsid w:val="10997F43"/>
    <w:rsid w:val="10DE7BAE"/>
    <w:rsid w:val="120774A3"/>
    <w:rsid w:val="12577549"/>
    <w:rsid w:val="12887761"/>
    <w:rsid w:val="13566046"/>
    <w:rsid w:val="14006D19"/>
    <w:rsid w:val="1481754F"/>
    <w:rsid w:val="148F32AB"/>
    <w:rsid w:val="148F5721"/>
    <w:rsid w:val="14AC57CD"/>
    <w:rsid w:val="15ED3E9B"/>
    <w:rsid w:val="164514BE"/>
    <w:rsid w:val="166B2EA9"/>
    <w:rsid w:val="16E73296"/>
    <w:rsid w:val="170F06AA"/>
    <w:rsid w:val="17225508"/>
    <w:rsid w:val="17603D5C"/>
    <w:rsid w:val="17B07FBC"/>
    <w:rsid w:val="180A6E32"/>
    <w:rsid w:val="183F2CD2"/>
    <w:rsid w:val="1856323E"/>
    <w:rsid w:val="18AF55E3"/>
    <w:rsid w:val="18B077E2"/>
    <w:rsid w:val="18B1519A"/>
    <w:rsid w:val="18CD0507"/>
    <w:rsid w:val="18F36BA5"/>
    <w:rsid w:val="193B6DE3"/>
    <w:rsid w:val="195D7D48"/>
    <w:rsid w:val="1A734CEB"/>
    <w:rsid w:val="1AD01A1B"/>
    <w:rsid w:val="1B61065A"/>
    <w:rsid w:val="1B8505B7"/>
    <w:rsid w:val="1BBF3927"/>
    <w:rsid w:val="1C177B08"/>
    <w:rsid w:val="1C9001C6"/>
    <w:rsid w:val="1CBA2101"/>
    <w:rsid w:val="1D0573D7"/>
    <w:rsid w:val="1D153DC4"/>
    <w:rsid w:val="1D223E0B"/>
    <w:rsid w:val="1D317C9F"/>
    <w:rsid w:val="1D6B1DA5"/>
    <w:rsid w:val="1E132F88"/>
    <w:rsid w:val="1E2867E9"/>
    <w:rsid w:val="1E853F6F"/>
    <w:rsid w:val="1E9C7BCC"/>
    <w:rsid w:val="1ECC1E3C"/>
    <w:rsid w:val="1EEE24B1"/>
    <w:rsid w:val="1EF865B5"/>
    <w:rsid w:val="1FC85766"/>
    <w:rsid w:val="203504C5"/>
    <w:rsid w:val="2067621D"/>
    <w:rsid w:val="208364FC"/>
    <w:rsid w:val="208953F9"/>
    <w:rsid w:val="21014C39"/>
    <w:rsid w:val="21244EB1"/>
    <w:rsid w:val="213964D8"/>
    <w:rsid w:val="213D2EB0"/>
    <w:rsid w:val="21595D04"/>
    <w:rsid w:val="21F13629"/>
    <w:rsid w:val="223236B6"/>
    <w:rsid w:val="2255462C"/>
    <w:rsid w:val="22CD49DC"/>
    <w:rsid w:val="22E5139E"/>
    <w:rsid w:val="2305377E"/>
    <w:rsid w:val="237674B3"/>
    <w:rsid w:val="238230CD"/>
    <w:rsid w:val="23901822"/>
    <w:rsid w:val="24122135"/>
    <w:rsid w:val="244E322A"/>
    <w:rsid w:val="24D4257E"/>
    <w:rsid w:val="25595E7E"/>
    <w:rsid w:val="2572202B"/>
    <w:rsid w:val="2605683C"/>
    <w:rsid w:val="26731922"/>
    <w:rsid w:val="26BB1419"/>
    <w:rsid w:val="27A2088A"/>
    <w:rsid w:val="27B748AA"/>
    <w:rsid w:val="27CB4CB9"/>
    <w:rsid w:val="281C2F58"/>
    <w:rsid w:val="28DF773E"/>
    <w:rsid w:val="2901513D"/>
    <w:rsid w:val="29642C4B"/>
    <w:rsid w:val="29C21DCA"/>
    <w:rsid w:val="2A34628C"/>
    <w:rsid w:val="2A724D05"/>
    <w:rsid w:val="2A7E505C"/>
    <w:rsid w:val="2AC85686"/>
    <w:rsid w:val="2AD04B5F"/>
    <w:rsid w:val="2ADA0FDB"/>
    <w:rsid w:val="2B136BA2"/>
    <w:rsid w:val="2BC05B2C"/>
    <w:rsid w:val="2BD617C5"/>
    <w:rsid w:val="2C112837"/>
    <w:rsid w:val="2C9B1252"/>
    <w:rsid w:val="2C9C2786"/>
    <w:rsid w:val="2CC13667"/>
    <w:rsid w:val="2D977CDA"/>
    <w:rsid w:val="2E014790"/>
    <w:rsid w:val="2E3F30C4"/>
    <w:rsid w:val="2EE77680"/>
    <w:rsid w:val="2F2F0FC8"/>
    <w:rsid w:val="2FA70460"/>
    <w:rsid w:val="2FDE0AA7"/>
    <w:rsid w:val="30057FE3"/>
    <w:rsid w:val="301C6BB6"/>
    <w:rsid w:val="306B48E2"/>
    <w:rsid w:val="30FD3EF5"/>
    <w:rsid w:val="311A1818"/>
    <w:rsid w:val="31876C6F"/>
    <w:rsid w:val="319708F2"/>
    <w:rsid w:val="31A8260E"/>
    <w:rsid w:val="31B14C9E"/>
    <w:rsid w:val="32B46B3E"/>
    <w:rsid w:val="332B149D"/>
    <w:rsid w:val="33C522D7"/>
    <w:rsid w:val="344C156B"/>
    <w:rsid w:val="34807672"/>
    <w:rsid w:val="35B06C6A"/>
    <w:rsid w:val="366149EB"/>
    <w:rsid w:val="36941AA2"/>
    <w:rsid w:val="36D37423"/>
    <w:rsid w:val="37316B6C"/>
    <w:rsid w:val="379D23F9"/>
    <w:rsid w:val="37C63114"/>
    <w:rsid w:val="38621430"/>
    <w:rsid w:val="3A185287"/>
    <w:rsid w:val="3A1F46B8"/>
    <w:rsid w:val="3A281202"/>
    <w:rsid w:val="3A692CD0"/>
    <w:rsid w:val="3AAE4AA7"/>
    <w:rsid w:val="3AF23299"/>
    <w:rsid w:val="3B1156F3"/>
    <w:rsid w:val="3B270929"/>
    <w:rsid w:val="3B3D5571"/>
    <w:rsid w:val="3B673620"/>
    <w:rsid w:val="3B6D26F5"/>
    <w:rsid w:val="3B9A1F29"/>
    <w:rsid w:val="3BFF3047"/>
    <w:rsid w:val="3C8D7627"/>
    <w:rsid w:val="3CE4646B"/>
    <w:rsid w:val="3CFC1228"/>
    <w:rsid w:val="3D5E7AA8"/>
    <w:rsid w:val="3D6F2596"/>
    <w:rsid w:val="3D946587"/>
    <w:rsid w:val="3DE672C9"/>
    <w:rsid w:val="3DF2306A"/>
    <w:rsid w:val="3FEC6FC4"/>
    <w:rsid w:val="4042383D"/>
    <w:rsid w:val="405F175E"/>
    <w:rsid w:val="40C765F3"/>
    <w:rsid w:val="426217F9"/>
    <w:rsid w:val="42AF3D95"/>
    <w:rsid w:val="42C9357F"/>
    <w:rsid w:val="42F869D2"/>
    <w:rsid w:val="43186073"/>
    <w:rsid w:val="43553536"/>
    <w:rsid w:val="44972678"/>
    <w:rsid w:val="451632B9"/>
    <w:rsid w:val="45906394"/>
    <w:rsid w:val="45C245CB"/>
    <w:rsid w:val="45F60A50"/>
    <w:rsid w:val="46142D0C"/>
    <w:rsid w:val="46263A53"/>
    <w:rsid w:val="46970A81"/>
    <w:rsid w:val="46A86BFA"/>
    <w:rsid w:val="46B036BF"/>
    <w:rsid w:val="46CC320F"/>
    <w:rsid w:val="47282363"/>
    <w:rsid w:val="47427364"/>
    <w:rsid w:val="477C2B8D"/>
    <w:rsid w:val="47810C98"/>
    <w:rsid w:val="47924F0A"/>
    <w:rsid w:val="48EE54ED"/>
    <w:rsid w:val="48F407FD"/>
    <w:rsid w:val="494D0152"/>
    <w:rsid w:val="49DC4EAC"/>
    <w:rsid w:val="49E55BC5"/>
    <w:rsid w:val="4A5D0BB5"/>
    <w:rsid w:val="4A784B9A"/>
    <w:rsid w:val="4ADC0DE1"/>
    <w:rsid w:val="4B600E77"/>
    <w:rsid w:val="4B8B4475"/>
    <w:rsid w:val="4B8F684D"/>
    <w:rsid w:val="4BF02011"/>
    <w:rsid w:val="4C011682"/>
    <w:rsid w:val="4C1C63D6"/>
    <w:rsid w:val="4C2D52ED"/>
    <w:rsid w:val="4C475FD9"/>
    <w:rsid w:val="4C4F7C59"/>
    <w:rsid w:val="4C864A35"/>
    <w:rsid w:val="4D207A05"/>
    <w:rsid w:val="4D53283E"/>
    <w:rsid w:val="4D6F4DFF"/>
    <w:rsid w:val="4E015C76"/>
    <w:rsid w:val="4E310026"/>
    <w:rsid w:val="4E4A2325"/>
    <w:rsid w:val="4F107345"/>
    <w:rsid w:val="4F234D65"/>
    <w:rsid w:val="4FC7362A"/>
    <w:rsid w:val="4FFF7B8D"/>
    <w:rsid w:val="501A6C55"/>
    <w:rsid w:val="515B1740"/>
    <w:rsid w:val="51B14BED"/>
    <w:rsid w:val="52526454"/>
    <w:rsid w:val="525C1CEF"/>
    <w:rsid w:val="528B5767"/>
    <w:rsid w:val="52D33625"/>
    <w:rsid w:val="53A3105E"/>
    <w:rsid w:val="53C64B93"/>
    <w:rsid w:val="548A6C60"/>
    <w:rsid w:val="54DE7749"/>
    <w:rsid w:val="55B1164D"/>
    <w:rsid w:val="55B4735E"/>
    <w:rsid w:val="55BB221D"/>
    <w:rsid w:val="55DF5537"/>
    <w:rsid w:val="56371459"/>
    <w:rsid w:val="56484633"/>
    <w:rsid w:val="574036F5"/>
    <w:rsid w:val="57FF4799"/>
    <w:rsid w:val="58D0053D"/>
    <w:rsid w:val="595A2A3C"/>
    <w:rsid w:val="598C40A0"/>
    <w:rsid w:val="59990ED0"/>
    <w:rsid w:val="59B95448"/>
    <w:rsid w:val="59DA647E"/>
    <w:rsid w:val="5A556E1A"/>
    <w:rsid w:val="5BA33C64"/>
    <w:rsid w:val="5BF92FF2"/>
    <w:rsid w:val="5C0C7CD1"/>
    <w:rsid w:val="5C924E81"/>
    <w:rsid w:val="5D724260"/>
    <w:rsid w:val="5DED27D5"/>
    <w:rsid w:val="5E015742"/>
    <w:rsid w:val="5E2864D0"/>
    <w:rsid w:val="5E494511"/>
    <w:rsid w:val="5EB44FC0"/>
    <w:rsid w:val="5FBA395F"/>
    <w:rsid w:val="60094E5C"/>
    <w:rsid w:val="606F38F4"/>
    <w:rsid w:val="60EC2CBA"/>
    <w:rsid w:val="612A4DC3"/>
    <w:rsid w:val="61751E71"/>
    <w:rsid w:val="61CC2D28"/>
    <w:rsid w:val="623E10C1"/>
    <w:rsid w:val="62B35208"/>
    <w:rsid w:val="635902CD"/>
    <w:rsid w:val="63C03536"/>
    <w:rsid w:val="63E95C2E"/>
    <w:rsid w:val="64282DCC"/>
    <w:rsid w:val="64706BBE"/>
    <w:rsid w:val="64F2095B"/>
    <w:rsid w:val="64F93A4C"/>
    <w:rsid w:val="652470FF"/>
    <w:rsid w:val="65A16A49"/>
    <w:rsid w:val="67A858DB"/>
    <w:rsid w:val="67FE4166"/>
    <w:rsid w:val="687314D3"/>
    <w:rsid w:val="68C401C3"/>
    <w:rsid w:val="695848C3"/>
    <w:rsid w:val="69625836"/>
    <w:rsid w:val="69A833BD"/>
    <w:rsid w:val="69AF6305"/>
    <w:rsid w:val="69EF6835"/>
    <w:rsid w:val="6A017EF7"/>
    <w:rsid w:val="6D4D0430"/>
    <w:rsid w:val="6D566F0F"/>
    <w:rsid w:val="6D836F72"/>
    <w:rsid w:val="6D8D1B93"/>
    <w:rsid w:val="6DDE3DAF"/>
    <w:rsid w:val="6DE76B3B"/>
    <w:rsid w:val="6E3241BE"/>
    <w:rsid w:val="6EB97A9D"/>
    <w:rsid w:val="6EF10A90"/>
    <w:rsid w:val="6EFC7DED"/>
    <w:rsid w:val="6F2309BE"/>
    <w:rsid w:val="6F2A7FBF"/>
    <w:rsid w:val="6FAE5A48"/>
    <w:rsid w:val="6FFF1868"/>
    <w:rsid w:val="707E77A2"/>
    <w:rsid w:val="713872F5"/>
    <w:rsid w:val="715F4C2D"/>
    <w:rsid w:val="71DD657B"/>
    <w:rsid w:val="722F78FB"/>
    <w:rsid w:val="723C2F8E"/>
    <w:rsid w:val="723D67C5"/>
    <w:rsid w:val="726A5F44"/>
    <w:rsid w:val="72BF60CA"/>
    <w:rsid w:val="72F41282"/>
    <w:rsid w:val="73020973"/>
    <w:rsid w:val="733D0D32"/>
    <w:rsid w:val="73B76769"/>
    <w:rsid w:val="73D411F1"/>
    <w:rsid w:val="744C446A"/>
    <w:rsid w:val="74701A0B"/>
    <w:rsid w:val="74A356B2"/>
    <w:rsid w:val="753811DE"/>
    <w:rsid w:val="75BE67D4"/>
    <w:rsid w:val="75C2004C"/>
    <w:rsid w:val="75C759C1"/>
    <w:rsid w:val="76281B03"/>
    <w:rsid w:val="762D64F3"/>
    <w:rsid w:val="762E20AD"/>
    <w:rsid w:val="767E7EFF"/>
    <w:rsid w:val="76B05EE3"/>
    <w:rsid w:val="775B4604"/>
    <w:rsid w:val="77C067C3"/>
    <w:rsid w:val="77CF305F"/>
    <w:rsid w:val="78074939"/>
    <w:rsid w:val="785A7CE0"/>
    <w:rsid w:val="78911E31"/>
    <w:rsid w:val="78F9732D"/>
    <w:rsid w:val="7922350F"/>
    <w:rsid w:val="792B5470"/>
    <w:rsid w:val="7A283224"/>
    <w:rsid w:val="7A2F5236"/>
    <w:rsid w:val="7A9367CB"/>
    <w:rsid w:val="7AEF5C78"/>
    <w:rsid w:val="7AF22571"/>
    <w:rsid w:val="7B0720CF"/>
    <w:rsid w:val="7B4C0E47"/>
    <w:rsid w:val="7B69224B"/>
    <w:rsid w:val="7BE80F25"/>
    <w:rsid w:val="7C1C35A7"/>
    <w:rsid w:val="7C45431D"/>
    <w:rsid w:val="7CA86B79"/>
    <w:rsid w:val="7D1566AD"/>
    <w:rsid w:val="7D25352B"/>
    <w:rsid w:val="7D3219D5"/>
    <w:rsid w:val="7DDD0501"/>
    <w:rsid w:val="7DE51372"/>
    <w:rsid w:val="7E3D0B49"/>
    <w:rsid w:val="7E5E590F"/>
    <w:rsid w:val="7E935AFB"/>
    <w:rsid w:val="7F226D81"/>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4"/>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1"/>
    <w:unhideWhenUsed/>
    <w:qFormat/>
    <w:uiPriority w:val="9"/>
    <w:pPr>
      <w:keepNext/>
      <w:keepLines/>
      <w:spacing w:before="260" w:after="260" w:line="416" w:lineRule="auto"/>
      <w:outlineLvl w:val="2"/>
    </w:pPr>
    <w:rPr>
      <w:sz w:val="32"/>
      <w:szCs w:val="32"/>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unhideWhenUsed/>
    <w:qFormat/>
    <w:uiPriority w:val="35"/>
    <w:rPr>
      <w:rFonts w:ascii="Cambria" w:hAnsi="Cambria" w:eastAsia="黑体"/>
      <w:szCs w:val="20"/>
    </w:rPr>
  </w:style>
  <w:style w:type="paragraph" w:styleId="8">
    <w:name w:val="Document Map"/>
    <w:basedOn w:val="1"/>
    <w:link w:val="31"/>
    <w:semiHidden/>
    <w:unhideWhenUsed/>
    <w:qFormat/>
    <w:uiPriority w:val="99"/>
    <w:rPr>
      <w:rFonts w:ascii="宋体" w:eastAsia="宋体"/>
      <w:sz w:val="18"/>
      <w:szCs w:val="18"/>
    </w:rPr>
  </w:style>
  <w:style w:type="paragraph" w:styleId="9">
    <w:name w:val="annotation text"/>
    <w:basedOn w:val="1"/>
    <w:semiHidden/>
    <w:unhideWhenUsed/>
    <w:qFormat/>
    <w:uiPriority w:val="0"/>
    <w:pPr>
      <w:jc w:val="left"/>
    </w:pPr>
  </w:style>
  <w:style w:type="paragraph" w:styleId="10">
    <w:name w:val="Body Text"/>
    <w:basedOn w:val="1"/>
    <w:link w:val="25"/>
    <w:qFormat/>
    <w:uiPriority w:val="0"/>
    <w:pPr>
      <w:spacing w:after="120"/>
      <w:jc w:val="both"/>
    </w:pPr>
    <w:rPr>
      <w:rFonts w:eastAsia="MS Mincho"/>
      <w:lang w:val="zh-CN"/>
    </w:rPr>
  </w:style>
  <w:style w:type="paragraph" w:styleId="11">
    <w:name w:val="List 2"/>
    <w:basedOn w:val="12"/>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2">
    <w:name w:val="List"/>
    <w:basedOn w:val="1"/>
    <w:semiHidden/>
    <w:unhideWhenUsed/>
    <w:qFormat/>
    <w:uiPriority w:val="99"/>
    <w:pPr>
      <w:ind w:left="200" w:hanging="200" w:hangingChars="200"/>
      <w:contextualSpacing/>
    </w:pPr>
  </w:style>
  <w:style w:type="paragraph" w:styleId="13">
    <w:name w:val="Date"/>
    <w:basedOn w:val="1"/>
    <w:next w:val="1"/>
    <w:link w:val="48"/>
    <w:semiHidden/>
    <w:unhideWhenUsed/>
    <w:qFormat/>
    <w:uiPriority w:val="99"/>
    <w:pPr>
      <w:ind w:left="100" w:leftChars="2500"/>
    </w:pPr>
  </w:style>
  <w:style w:type="paragraph" w:styleId="14">
    <w:name w:val="Balloon Text"/>
    <w:basedOn w:val="1"/>
    <w:link w:val="29"/>
    <w:semiHidden/>
    <w:unhideWhenUsed/>
    <w:qFormat/>
    <w:uiPriority w:val="99"/>
    <w:rPr>
      <w:sz w:val="18"/>
      <w:szCs w:val="18"/>
      <w:lang w:val="zh-CN"/>
    </w:rPr>
  </w:style>
  <w:style w:type="paragraph" w:styleId="15">
    <w:name w:val="footer"/>
    <w:basedOn w:val="1"/>
    <w:link w:val="28"/>
    <w:unhideWhenUsed/>
    <w:qFormat/>
    <w:uiPriority w:val="99"/>
    <w:pPr>
      <w:tabs>
        <w:tab w:val="center" w:pos="4153"/>
        <w:tab w:val="right" w:pos="8306"/>
      </w:tabs>
      <w:snapToGrid w:val="0"/>
    </w:pPr>
    <w:rPr>
      <w:sz w:val="18"/>
      <w:szCs w:val="18"/>
      <w:lang w:val="zh-CN"/>
    </w:rPr>
  </w:style>
  <w:style w:type="paragraph" w:styleId="16">
    <w:name w:val="header"/>
    <w:basedOn w:val="1"/>
    <w:link w:val="26"/>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semiHidden/>
    <w:qFormat/>
    <w:uiPriority w:val="0"/>
  </w:style>
  <w:style w:type="character" w:styleId="22">
    <w:name w:val="Hyperlink"/>
    <w:qFormat/>
    <w:uiPriority w:val="99"/>
    <w:rPr>
      <w:color w:val="0000FF"/>
      <w:u w:val="single"/>
    </w:rPr>
  </w:style>
  <w:style w:type="character" w:customStyle="1" w:styleId="23">
    <w:name w:val="Heading 1 Char"/>
    <w:link w:val="2"/>
    <w:qFormat/>
    <w:uiPriority w:val="0"/>
    <w:rPr>
      <w:rFonts w:ascii="Helvetica" w:hAnsi="Helvetica" w:eastAsia="MS Mincho" w:cs="Times New Roman"/>
      <w:b/>
      <w:bCs/>
      <w:kern w:val="32"/>
      <w:sz w:val="28"/>
      <w:szCs w:val="32"/>
      <w:lang w:val="zh-CN" w:eastAsia="en-US"/>
    </w:rPr>
  </w:style>
  <w:style w:type="character" w:customStyle="1" w:styleId="24">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5">
    <w:name w:val="Body Text Char"/>
    <w:link w:val="10"/>
    <w:qFormat/>
    <w:uiPriority w:val="0"/>
    <w:rPr>
      <w:rFonts w:ascii="Times New Roman" w:hAnsi="Times New Roman" w:eastAsia="MS Mincho" w:cs="Times New Roman"/>
      <w:kern w:val="0"/>
      <w:sz w:val="20"/>
      <w:szCs w:val="24"/>
      <w:lang w:val="zh-CN" w:eastAsia="en-US"/>
    </w:rPr>
  </w:style>
  <w:style w:type="character" w:customStyle="1" w:styleId="26">
    <w:name w:val="Header Char"/>
    <w:link w:val="16"/>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Footer Char"/>
    <w:link w:val="15"/>
    <w:qFormat/>
    <w:uiPriority w:val="99"/>
    <w:rPr>
      <w:rFonts w:ascii="Times New Roman" w:hAnsi="Times New Roman" w:eastAsia="Times New Roman" w:cs="Times New Roman"/>
      <w:kern w:val="0"/>
      <w:sz w:val="18"/>
      <w:szCs w:val="18"/>
      <w:lang w:eastAsia="en-US"/>
    </w:rPr>
  </w:style>
  <w:style w:type="character" w:customStyle="1" w:styleId="29">
    <w:name w:val="Balloon Text Char"/>
    <w:link w:val="14"/>
    <w:semiHidden/>
    <w:qFormat/>
    <w:uiPriority w:val="99"/>
    <w:rPr>
      <w:rFonts w:ascii="Times New Roman" w:hAnsi="Times New Roman" w:eastAsia="Times New Roman" w:cs="Times New Roman"/>
      <w:kern w:val="0"/>
      <w:sz w:val="18"/>
      <w:szCs w:val="18"/>
      <w:lang w:eastAsia="en-US"/>
    </w:rPr>
  </w:style>
  <w:style w:type="paragraph" w:styleId="30">
    <w:name w:val="List Paragraph"/>
    <w:basedOn w:val="1"/>
    <w:link w:val="46"/>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1">
    <w:name w:val="Document Map Char"/>
    <w:link w:val="8"/>
    <w:semiHidden/>
    <w:qFormat/>
    <w:uiPriority w:val="99"/>
    <w:rPr>
      <w:rFonts w:ascii="宋体" w:hAnsi="Times New Roman"/>
      <w:sz w:val="18"/>
      <w:szCs w:val="18"/>
      <w:lang w:eastAsia="en-US"/>
    </w:rPr>
  </w:style>
  <w:style w:type="paragraph" w:customStyle="1" w:styleId="32">
    <w:name w:val="B1"/>
    <w:basedOn w:val="12"/>
    <w:link w:val="33"/>
    <w:qFormat/>
    <w:uiPriority w:val="0"/>
    <w:pPr>
      <w:spacing w:after="180"/>
      <w:ind w:left="568" w:hanging="284" w:firstLineChars="0"/>
      <w:contextualSpacing w:val="0"/>
    </w:pPr>
    <w:rPr>
      <w:rFonts w:eastAsia="宋体"/>
      <w:szCs w:val="20"/>
      <w:lang w:val="en-GB"/>
    </w:rPr>
  </w:style>
  <w:style w:type="character" w:customStyle="1" w:styleId="33">
    <w:name w:val="B1 (文字)"/>
    <w:link w:val="32"/>
    <w:qFormat/>
    <w:locked/>
    <w:uiPriority w:val="0"/>
    <w:rPr>
      <w:rFonts w:ascii="Times New Roman" w:hAnsi="Times New Roman"/>
      <w:lang w:val="en-GB" w:eastAsia="en-US"/>
    </w:rPr>
  </w:style>
  <w:style w:type="character" w:customStyle="1" w:styleId="34">
    <w:name w:val="B1 Char1"/>
    <w:qFormat/>
    <w:uiPriority w:val="0"/>
    <w:rPr>
      <w:lang w:val="en-GB" w:eastAsia="en-US"/>
    </w:rPr>
  </w:style>
  <w:style w:type="paragraph" w:customStyle="1" w:styleId="35">
    <w:name w:val="TAH"/>
    <w:basedOn w:val="36"/>
    <w:link w:val="41"/>
    <w:qFormat/>
    <w:uiPriority w:val="0"/>
    <w:rPr>
      <w:b/>
    </w:rPr>
  </w:style>
  <w:style w:type="paragraph" w:customStyle="1" w:styleId="36">
    <w:name w:val="TAC"/>
    <w:basedOn w:val="37"/>
    <w:link w:val="40"/>
    <w:qFormat/>
    <w:uiPriority w:val="0"/>
    <w:pPr>
      <w:keepNext/>
      <w:keepLines/>
      <w:jc w:val="center"/>
    </w:pPr>
    <w:rPr>
      <w:rFonts w:ascii="Arial" w:hAnsi="Arial" w:eastAsia="宋体"/>
      <w:sz w:val="18"/>
      <w:szCs w:val="20"/>
      <w:lang w:val="en-GB" w:eastAsia="zh-CN"/>
    </w:rPr>
  </w:style>
  <w:style w:type="paragraph" w:customStyle="1" w:styleId="37">
    <w:name w:val="TAL"/>
    <w:basedOn w:val="1"/>
    <w:link w:val="50"/>
    <w:qFormat/>
    <w:uiPriority w:val="0"/>
    <w:pPr>
      <w:keepNext/>
      <w:keepLines/>
    </w:pPr>
    <w:rPr>
      <w:rFonts w:ascii="Arial" w:hAnsi="Arial" w:eastAsia="宋体"/>
      <w:sz w:val="18"/>
      <w:szCs w:val="20"/>
      <w:lang w:val="en-GB"/>
    </w:rPr>
  </w:style>
  <w:style w:type="paragraph" w:customStyle="1" w:styleId="38">
    <w:name w:val="TH"/>
    <w:basedOn w:val="1"/>
    <w:link w:val="39"/>
    <w:qFormat/>
    <w:uiPriority w:val="0"/>
    <w:pPr>
      <w:keepNext/>
      <w:keepLines/>
      <w:spacing w:before="60" w:after="180"/>
      <w:jc w:val="center"/>
    </w:pPr>
    <w:rPr>
      <w:rFonts w:ascii="Arial" w:hAnsi="Arial" w:eastAsia="宋体"/>
      <w:b/>
      <w:szCs w:val="20"/>
      <w:lang w:val="en-GB" w:eastAsia="zh-CN"/>
    </w:rPr>
  </w:style>
  <w:style w:type="character" w:customStyle="1" w:styleId="39">
    <w:name w:val="TH Char"/>
    <w:link w:val="38"/>
    <w:qFormat/>
    <w:uiPriority w:val="0"/>
    <w:rPr>
      <w:rFonts w:ascii="Arial" w:hAnsi="Arial" w:eastAsia="宋体"/>
      <w:b/>
      <w:lang w:val="en-GB" w:eastAsia="zh-CN"/>
    </w:rPr>
  </w:style>
  <w:style w:type="character" w:customStyle="1" w:styleId="40">
    <w:name w:val="TAC Char"/>
    <w:link w:val="36"/>
    <w:qFormat/>
    <w:uiPriority w:val="0"/>
    <w:rPr>
      <w:rFonts w:ascii="Arial" w:hAnsi="Arial" w:eastAsia="宋体"/>
      <w:sz w:val="18"/>
      <w:lang w:val="en-GB" w:eastAsia="zh-CN"/>
    </w:rPr>
  </w:style>
  <w:style w:type="character" w:customStyle="1" w:styleId="41">
    <w:name w:val="TAH Car"/>
    <w:link w:val="35"/>
    <w:qFormat/>
    <w:uiPriority w:val="0"/>
    <w:rPr>
      <w:rFonts w:ascii="Arial" w:hAnsi="Arial" w:eastAsia="宋体"/>
      <w:b/>
      <w:sz w:val="18"/>
      <w:lang w:val="en-GB" w:eastAsia="zh-C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3">
    <w:name w:val="TAR"/>
    <w:basedOn w:val="1"/>
    <w:qFormat/>
    <w:uiPriority w:val="0"/>
    <w:pPr>
      <w:keepNext/>
      <w:keepLines/>
      <w:jc w:val="right"/>
    </w:pPr>
    <w:rPr>
      <w:rFonts w:ascii="Arial" w:hAnsi="Arial" w:eastAsia="宋体"/>
      <w:sz w:val="18"/>
      <w:szCs w:val="20"/>
      <w:lang w:val="en-GB"/>
    </w:rPr>
  </w:style>
  <w:style w:type="paragraph" w:customStyle="1" w:styleId="44">
    <w:name w:val="RAN4 proposal"/>
    <w:basedOn w:val="7"/>
    <w:next w:val="1"/>
    <w:link w:val="45"/>
    <w:qFormat/>
    <w:uiPriority w:val="0"/>
    <w:pPr>
      <w:numPr>
        <w:ilvl w:val="0"/>
        <w:numId w:val="2"/>
      </w:numPr>
      <w:spacing w:after="200"/>
      <w:ind w:left="0" w:firstLine="0"/>
    </w:pPr>
    <w:rPr>
      <w:rFonts w:ascii="Times New Roman" w:hAnsi="Times New Roman" w:eastAsia="宋体"/>
      <w:b/>
      <w:iCs/>
      <w:szCs w:val="18"/>
    </w:rPr>
  </w:style>
  <w:style w:type="character" w:customStyle="1" w:styleId="45">
    <w:name w:val="RAN4 proposal Char"/>
    <w:link w:val="44"/>
    <w:qFormat/>
    <w:uiPriority w:val="0"/>
    <w:rPr>
      <w:rFonts w:ascii="Times New Roman" w:hAnsi="Times New Roman"/>
      <w:b/>
      <w:iCs/>
      <w:szCs w:val="18"/>
      <w:lang w:eastAsia="en-US"/>
    </w:rPr>
  </w:style>
  <w:style w:type="character" w:customStyle="1" w:styleId="46">
    <w:name w:val="List Paragraph Char"/>
    <w:link w:val="30"/>
    <w:qFormat/>
    <w:uiPriority w:val="34"/>
    <w:rPr>
      <w:kern w:val="2"/>
      <w:sz w:val="21"/>
      <w:szCs w:val="22"/>
    </w:rPr>
  </w:style>
  <w:style w:type="character" w:customStyle="1" w:styleId="47">
    <w:name w:val="ZGSM"/>
    <w:qFormat/>
    <w:uiPriority w:val="0"/>
  </w:style>
  <w:style w:type="character" w:customStyle="1" w:styleId="48">
    <w:name w:val="Date Char"/>
    <w:link w:val="13"/>
    <w:semiHidden/>
    <w:qFormat/>
    <w:uiPriority w:val="99"/>
    <w:rPr>
      <w:rFonts w:ascii="Times New Roman" w:hAnsi="Times New Roman" w:eastAsia="Times New Roman"/>
      <w:szCs w:val="24"/>
      <w:lang w:eastAsia="en-US"/>
    </w:rPr>
  </w:style>
  <w:style w:type="paragraph" w:customStyle="1" w:styleId="49">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0">
    <w:name w:val="TAL Char"/>
    <w:link w:val="37"/>
    <w:qFormat/>
    <w:uiPriority w:val="0"/>
    <w:rPr>
      <w:rFonts w:ascii="Arial" w:hAnsi="Arial"/>
      <w:sz w:val="18"/>
      <w:lang w:val="en-GB" w:eastAsia="en-US"/>
    </w:rPr>
  </w:style>
  <w:style w:type="character" w:customStyle="1" w:styleId="51">
    <w:name w:val="Heading 3 Char"/>
    <w:link w:val="4"/>
    <w:qFormat/>
    <w:uiPriority w:val="9"/>
    <w:rPr>
      <w:rFonts w:ascii="Times New Roman" w:hAnsi="Times New Roman" w:eastAsia="Times New Roman"/>
      <w:b/>
      <w:bCs/>
      <w:sz w:val="32"/>
      <w:szCs w:val="32"/>
      <w:lang w:eastAsia="en-US"/>
    </w:rPr>
  </w:style>
  <w:style w:type="character" w:customStyle="1" w:styleId="52">
    <w:name w:val="TAL Car"/>
    <w:qFormat/>
    <w:uiPriority w:val="0"/>
    <w:rPr>
      <w:rFonts w:ascii="Arial" w:hAnsi="Arial" w:eastAsia="Times New Roman" w:cs="Times New Roman"/>
      <w:kern w:val="0"/>
      <w:sz w:val="18"/>
      <w:szCs w:val="20"/>
      <w:lang w:val="en-GB" w:eastAsia="ko-KR"/>
    </w:rPr>
  </w:style>
  <w:style w:type="paragraph" w:customStyle="1" w:styleId="53">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4">
    <w:name w:val="TAN"/>
    <w:basedOn w:val="37"/>
    <w:qFormat/>
    <w:uiPriority w:val="0"/>
    <w:pPr>
      <w:ind w:left="851" w:hanging="851"/>
    </w:pPr>
  </w:style>
  <w:style w:type="character" w:customStyle="1" w:styleId="55">
    <w:name w:val="normaltextrun"/>
    <w:basedOn w:val="20"/>
    <w:qFormat/>
    <w:uiPriority w:val="0"/>
  </w:style>
  <w:style w:type="character" w:customStyle="1" w:styleId="56">
    <w:name w:val="eop"/>
    <w:basedOn w:val="20"/>
    <w:qFormat/>
    <w:uiPriority w:val="0"/>
  </w:style>
  <w:style w:type="paragraph" w:customStyle="1" w:styleId="57">
    <w:name w:val="paragraph"/>
    <w:basedOn w:val="1"/>
    <w:qFormat/>
    <w:uiPriority w:val="0"/>
    <w:pPr>
      <w:spacing w:before="100" w:beforeAutospacing="1" w:after="100" w:afterAutospacing="1"/>
    </w:pPr>
    <w:rPr>
      <w:rFonts w:eastAsia="Times New Roman"/>
      <w:sz w:val="24"/>
      <w:szCs w:val="24"/>
    </w:rPr>
  </w:style>
  <w:style w:type="paragraph" w:customStyle="1" w:styleId="58">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9">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paragraph" w:customStyle="1" w:styleId="60">
    <w:name w:val="样式3"/>
    <w:basedOn w:val="30"/>
    <w:qFormat/>
    <w:uiPriority w:val="0"/>
    <w:pPr>
      <w:numPr>
        <w:ilvl w:val="1"/>
        <w:numId w:val="3"/>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2024-04-08T13:03:27Z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37E5B2F501C7414CA35566C79889349E</vt:lpwstr>
  </property>
</Properties>
</file>